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D94" w:rsidRDefault="00F70D94" w:rsidP="00F70D94">
      <w:pPr>
        <w:rPr>
          <w:rFonts w:ascii="Times New Roman" w:eastAsia="Times New Roman" w:hAnsi="Times New Roman"/>
          <w:bCs/>
          <w:color w:val="000000"/>
        </w:rPr>
      </w:pPr>
      <w:r>
        <w:rPr>
          <w:noProof/>
        </w:rPr>
        <w:drawing>
          <wp:inline distT="0" distB="0" distL="0" distR="0">
            <wp:extent cx="5943600" cy="1671533"/>
            <wp:effectExtent l="0" t="0" r="0" b="0"/>
            <wp:docPr id="2" name="Picture 1" descr="Harckham heade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ckham header.pdf"/>
                    <pic:cNvPicPr/>
                  </pic:nvPicPr>
                  <pic:blipFill>
                    <a:blip r:embed="rId5" cstate="print"/>
                    <a:stretch>
                      <a:fillRect/>
                    </a:stretch>
                  </pic:blipFill>
                  <pic:spPr>
                    <a:xfrm>
                      <a:off x="0" y="0"/>
                      <a:ext cx="5943600" cy="1671533"/>
                    </a:xfrm>
                    <a:prstGeom prst="rect">
                      <a:avLst/>
                    </a:prstGeom>
                  </pic:spPr>
                </pic:pic>
              </a:graphicData>
            </a:graphic>
          </wp:inline>
        </w:drawing>
      </w:r>
    </w:p>
    <w:p w:rsidR="00F70D94" w:rsidRDefault="00F70D94" w:rsidP="00F70D94">
      <w:pPr>
        <w:rPr>
          <w:rFonts w:ascii="Times New Roman" w:eastAsia="Times New Roman" w:hAnsi="Times New Roman"/>
          <w:bCs/>
          <w:color w:val="000000"/>
        </w:rPr>
      </w:pPr>
    </w:p>
    <w:p w:rsidR="00F70D94" w:rsidRPr="0090014F" w:rsidRDefault="00F70D94" w:rsidP="00F70D94">
      <w:pPr>
        <w:rPr>
          <w:rFonts w:ascii="Times New Roman" w:eastAsia="Times New Roman" w:hAnsi="Times New Roman"/>
          <w:bCs/>
          <w:color w:val="000000"/>
        </w:rPr>
      </w:pPr>
      <w:r w:rsidRPr="0090014F">
        <w:rPr>
          <w:rFonts w:ascii="Times New Roman" w:eastAsia="Times New Roman" w:hAnsi="Times New Roman"/>
          <w:bCs/>
          <w:color w:val="000000"/>
        </w:rPr>
        <w:t>January 25, 2018</w:t>
      </w:r>
    </w:p>
    <w:p w:rsidR="0090014F" w:rsidRPr="0090014F" w:rsidRDefault="0090014F" w:rsidP="0090014F">
      <w:pPr>
        <w:pStyle w:val="Default"/>
      </w:pPr>
    </w:p>
    <w:p w:rsidR="0090014F" w:rsidRPr="0090014F" w:rsidRDefault="0090014F" w:rsidP="0090014F">
      <w:pPr>
        <w:pStyle w:val="Default"/>
      </w:pPr>
    </w:p>
    <w:p w:rsidR="0069669B" w:rsidRPr="0069669B" w:rsidRDefault="00770A19" w:rsidP="00770A19">
      <w:pPr>
        <w:rPr>
          <w:rFonts w:ascii="Times New Roman" w:hAnsi="Times New Roman"/>
        </w:rPr>
      </w:pPr>
      <w:r w:rsidRPr="0069669B">
        <w:rPr>
          <w:rFonts w:ascii="Times New Roman" w:hAnsi="Times New Roman"/>
        </w:rPr>
        <w:t xml:space="preserve">Commissioner Basil Seggos </w:t>
      </w:r>
    </w:p>
    <w:p w:rsidR="0069669B" w:rsidRPr="0069669B" w:rsidRDefault="00770A19" w:rsidP="00770A19">
      <w:pPr>
        <w:rPr>
          <w:rFonts w:ascii="Times New Roman" w:hAnsi="Times New Roman"/>
        </w:rPr>
      </w:pPr>
      <w:r w:rsidRPr="0069669B">
        <w:rPr>
          <w:rFonts w:ascii="Times New Roman" w:hAnsi="Times New Roman"/>
        </w:rPr>
        <w:t xml:space="preserve">New York State Department of Environmental Conservation </w:t>
      </w:r>
    </w:p>
    <w:p w:rsidR="0090014F" w:rsidRPr="0069669B" w:rsidRDefault="00770A19" w:rsidP="00770A19">
      <w:pPr>
        <w:rPr>
          <w:rFonts w:ascii="Times New Roman" w:hAnsi="Times New Roman"/>
        </w:rPr>
      </w:pPr>
      <w:r w:rsidRPr="0069669B">
        <w:rPr>
          <w:rFonts w:ascii="Times New Roman" w:hAnsi="Times New Roman"/>
        </w:rPr>
        <w:t>625 Broadway Albany, New York 12233</w:t>
      </w:r>
    </w:p>
    <w:p w:rsidR="0090014F" w:rsidRPr="0090014F" w:rsidRDefault="0090014F" w:rsidP="0090014F">
      <w:pPr>
        <w:rPr>
          <w:rFonts w:ascii="Times New Roman" w:eastAsia="Times New Roman" w:hAnsi="Times New Roman"/>
          <w:b/>
          <w:bCs/>
          <w:color w:val="000000"/>
        </w:rPr>
      </w:pPr>
    </w:p>
    <w:p w:rsidR="00E6395B" w:rsidRPr="0090014F" w:rsidRDefault="002D037E" w:rsidP="00F70D94">
      <w:pPr>
        <w:rPr>
          <w:rFonts w:ascii="Times New Roman" w:eastAsia="Times New Roman" w:hAnsi="Times New Roman"/>
          <w:bCs/>
          <w:color w:val="000000"/>
        </w:rPr>
      </w:pPr>
      <w:r>
        <w:rPr>
          <w:rFonts w:ascii="Times New Roman" w:eastAsia="Times New Roman" w:hAnsi="Times New Roman"/>
          <w:bCs/>
          <w:color w:val="000000"/>
        </w:rPr>
        <w:t>Dear Commissioner Seggos</w:t>
      </w:r>
      <w:bookmarkStart w:id="0" w:name="_GoBack"/>
      <w:bookmarkEnd w:id="0"/>
      <w:r w:rsidR="00E6395B" w:rsidRPr="0090014F">
        <w:rPr>
          <w:rFonts w:ascii="Times New Roman" w:eastAsia="Times New Roman" w:hAnsi="Times New Roman"/>
          <w:bCs/>
          <w:color w:val="000000"/>
        </w:rPr>
        <w:t>,</w:t>
      </w:r>
    </w:p>
    <w:p w:rsidR="00E6395B" w:rsidRPr="0090014F" w:rsidRDefault="00E6395B" w:rsidP="00F70D94">
      <w:pPr>
        <w:rPr>
          <w:rFonts w:ascii="Times New Roman" w:eastAsia="Times New Roman" w:hAnsi="Times New Roman"/>
          <w:bCs/>
          <w:color w:val="000000"/>
        </w:rPr>
      </w:pPr>
    </w:p>
    <w:p w:rsidR="00E6395B" w:rsidRPr="0090014F" w:rsidRDefault="00E6395B" w:rsidP="00F70D94">
      <w:pPr>
        <w:rPr>
          <w:rFonts w:ascii="Times New Roman" w:eastAsia="Times New Roman" w:hAnsi="Times New Roman"/>
          <w:bCs/>
          <w:color w:val="000000"/>
        </w:rPr>
      </w:pPr>
    </w:p>
    <w:p w:rsidR="00F70D94" w:rsidRPr="0090014F" w:rsidRDefault="00F70D94" w:rsidP="00F70D94">
      <w:pPr>
        <w:rPr>
          <w:rFonts w:ascii="Times New Roman" w:eastAsia="Times New Roman" w:hAnsi="Times New Roman"/>
        </w:rPr>
      </w:pPr>
      <w:r w:rsidRPr="0090014F">
        <w:rPr>
          <w:rFonts w:ascii="Times New Roman" w:eastAsia="Times New Roman" w:hAnsi="Times New Roman"/>
          <w:b/>
          <w:bCs/>
          <w:color w:val="000000"/>
        </w:rPr>
        <w:t>Re: Proposed Rulemaking for Oil and Gas Sector Emissions, 6 NYCRR Part 203</w:t>
      </w:r>
    </w:p>
    <w:p w:rsidR="00F70D94" w:rsidRPr="0090014F"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sidRPr="0090014F">
        <w:rPr>
          <w:rFonts w:ascii="Times New Roman" w:eastAsia="Times New Roman" w:hAnsi="Times New Roman"/>
          <w:color w:val="000000"/>
        </w:rPr>
        <w:t>I respectfully submit this letter in response to the NYS Department of Environmental Conservation (DEC) interest in public stakeholder input in the drafting of 6 NYCRR Part 203, Oil and Gas Sector</w:t>
      </w:r>
      <w:r w:rsidRPr="0090014F">
        <w:rPr>
          <w:rFonts w:ascii="Times New Roman" w:eastAsia="Times New Roman" w:hAnsi="Times New Roman"/>
        </w:rPr>
        <w:t xml:space="preserve"> </w:t>
      </w:r>
      <w:r w:rsidRPr="0090014F">
        <w:rPr>
          <w:rFonts w:ascii="Times New Roman" w:eastAsia="Times New Roman" w:hAnsi="Times New Roman"/>
          <w:color w:val="000000"/>
        </w:rPr>
        <w:t>Emissions, new regulations to reduce criteria pollutants and methane</w:t>
      </w:r>
      <w:r>
        <w:rPr>
          <w:rFonts w:ascii="Times New Roman" w:eastAsia="Times New Roman" w:hAnsi="Times New Roman"/>
          <w:color w:val="000000"/>
        </w:rPr>
        <w:t xml:space="preserve"> emissions from the oil and gas sector, and other regulations as applicable.</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color w:val="000000"/>
        </w:rPr>
      </w:pPr>
      <w:r>
        <w:rPr>
          <w:rFonts w:ascii="Times New Roman" w:eastAsia="Times New Roman" w:hAnsi="Times New Roman"/>
          <w:color w:val="000000"/>
        </w:rPr>
        <w:t>I appreciate the opportunity to provide input for this proposed rulemaking. My constituents</w:t>
      </w:r>
    </w:p>
    <w:p w:rsidR="00F70D94" w:rsidRDefault="00F70D94" w:rsidP="00F70D94">
      <w:pPr>
        <w:rPr>
          <w:rFonts w:ascii="Times New Roman" w:eastAsia="Times New Roman" w:hAnsi="Times New Roman"/>
        </w:rPr>
      </w:pPr>
      <w:r>
        <w:rPr>
          <w:rFonts w:ascii="Times New Roman" w:eastAsia="Times New Roman" w:hAnsi="Times New Roman"/>
          <w:color w:val="000000"/>
        </w:rPr>
        <w:t xml:space="preserve">have often expressed concern about the recent expansion of natural gas infrastructure and the resulting impact upon the environment, public health, and public safety. </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rPr>
        <w:t>Consistent with these past expressions, I strongly urge the inclusion of the recommendations contained herein as you review and revise the New York State oil and gas regulations, and for the NYS DEC to work with the NYS Department of Health (DOH) accordingly.</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b/>
          <w:bCs/>
          <w:color w:val="000000"/>
        </w:rPr>
        <w:t>Current Situation:</w:t>
      </w:r>
    </w:p>
    <w:p w:rsidR="00F70D94" w:rsidRDefault="00F70D94" w:rsidP="00F70D94">
      <w:pPr>
        <w:rPr>
          <w:rFonts w:ascii="Times New Roman" w:eastAsia="Times New Roman" w:hAnsi="Times New Roman"/>
        </w:rPr>
      </w:pPr>
      <w:r>
        <w:rPr>
          <w:rFonts w:ascii="Times New Roman" w:eastAsia="Times New Roman" w:hAnsi="Times New Roman"/>
          <w:color w:val="000000"/>
        </w:rPr>
        <w:t xml:space="preserve">The people and environment of New York have been increasingly subjected to a build-out of natural gas infrastructure, including but not limited to pipelines and distribution networks, compressor stations, power plants, combustion heating systems, metering and regulating stations, and pigging stations. </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rPr>
        <w:t>However, the current New York State regulatory requirements and protocols are not adequate to assess, mitigate, and control the large volumes of air pollutants (both criteria pollutants and toxins) emitted from these sources.</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rPr>
        <w:lastRenderedPageBreak/>
        <w:t>I join many other local and county governments, state and federal elected representatives, numerous organizations, and concerned citizens in calling for improvements to New York’s regulations and protocols. I recognize the significant health impacts caused by emissions from natural gas facilities and the need for a Health Impact Assessment, as these organizations and others have aptly described. I also acknowledge the inadequacy of current standards</w:t>
      </w:r>
    </w:p>
    <w:p w:rsidR="00F70D94" w:rsidRDefault="00F70D94" w:rsidP="00F70D94">
      <w:pPr>
        <w:rPr>
          <w:rFonts w:ascii="Times New Roman" w:eastAsia="Times New Roman" w:hAnsi="Times New Roman"/>
        </w:rPr>
      </w:pPr>
      <w:r>
        <w:rPr>
          <w:rFonts w:ascii="Times New Roman" w:eastAsia="Times New Roman" w:hAnsi="Times New Roman"/>
          <w:color w:val="000000"/>
        </w:rPr>
        <w:t>(e.g., NAAQS) and modeling protocols to assess public health exposure and risk from natural gas facilities, especially from toxic pollutants.</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rPr>
        <w:t>For a broader description of the health impacts from gas facilities and shortcomings of the current regulatory scheme, please refer to the March 27, 2018 letter (attached) by not-for-profit organizations/advocates. This letter also describes the climate change impacts of fugitive methane emissions from natural gas facilities, the availability of technologies to quantify and reduce such emissions, and the need for additional monitoring and control technologies at facilities and notification of blowdowns and chemical releases.</w:t>
      </w:r>
      <w:r>
        <w:rPr>
          <w:rFonts w:ascii="Times New Roman" w:eastAsia="Times New Roman" w:hAnsi="Times New Roman"/>
        </w:rPr>
        <w:br/>
      </w:r>
    </w:p>
    <w:p w:rsidR="00F70D94" w:rsidRDefault="00F70D94" w:rsidP="00F70D94">
      <w:pPr>
        <w:rPr>
          <w:rFonts w:ascii="Times New Roman" w:eastAsia="Times New Roman" w:hAnsi="Times New Roman"/>
        </w:rPr>
      </w:pPr>
      <w:r>
        <w:rPr>
          <w:rFonts w:ascii="Times New Roman" w:eastAsia="Times New Roman" w:hAnsi="Times New Roman"/>
          <w:b/>
          <w:bCs/>
          <w:color w:val="000000"/>
        </w:rPr>
        <w:t>Recommendations for Regulations:</w:t>
      </w:r>
    </w:p>
    <w:p w:rsidR="00F70D94" w:rsidRDefault="00F70D94" w:rsidP="00F70D94">
      <w:pPr>
        <w:rPr>
          <w:rFonts w:ascii="Times New Roman" w:eastAsia="Times New Roman" w:hAnsi="Times New Roman"/>
        </w:rPr>
      </w:pPr>
      <w:r>
        <w:rPr>
          <w:rFonts w:ascii="Times New Roman" w:eastAsia="Times New Roman" w:hAnsi="Times New Roman"/>
          <w:color w:val="000000"/>
        </w:rPr>
        <w:t>In the interest of protecting public health, safety and the environment for all New Yorkers, I urge the DEC to adopt the following regulatory requirements for oil and gas infrastructure, which include but are not limited to natural gas compressor stations, metering and regulating stations, and pigging stations:</w:t>
      </w:r>
    </w:p>
    <w:p w:rsidR="00F70D94" w:rsidRDefault="00F70D94" w:rsidP="00F70D94">
      <w:pPr>
        <w:rPr>
          <w:rFonts w:ascii="Times New Roman" w:eastAsia="Times New Roman" w:hAnsi="Times New Roman"/>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Installation and use of Lowest Achievable Emissions Rate (LAER) technology</w:t>
      </w:r>
      <w:r>
        <w:rPr>
          <w:rFonts w:ascii="Times New Roman" w:eastAsia="Times New Roman" w:hAnsi="Times New Roman"/>
          <w:color w:val="000000"/>
        </w:rPr>
        <w:t xml:space="preserve"> at all new and existing gas infrastructure facilities that emit pollutants into the environment, including those not designated under federal Title V requirements or not located within non-attainment areas;</w:t>
      </w:r>
    </w:p>
    <w:p w:rsidR="00F70D94" w:rsidRDefault="00F70D94" w:rsidP="00F70D94">
      <w:pPr>
        <w:rPr>
          <w:rFonts w:ascii="Times New Roman" w:eastAsia="Times New Roman" w:hAnsi="Times New Roman"/>
        </w:rPr>
      </w:pPr>
    </w:p>
    <w:p w:rsidR="00F70D94" w:rsidRDefault="00F70D94" w:rsidP="00F70D94">
      <w:pPr>
        <w:pStyle w:val="ListParagraph"/>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Inclusion of non-combustion emission sources and emission sources</w:t>
      </w:r>
      <w:r>
        <w:rPr>
          <w:rFonts w:ascii="Times New Roman" w:eastAsia="Times New Roman" w:hAnsi="Times New Roman"/>
          <w:color w:val="000000"/>
        </w:rPr>
        <w:t xml:space="preserve"> currently</w:t>
      </w:r>
    </w:p>
    <w:p w:rsidR="00F70D94" w:rsidRDefault="00F70D94" w:rsidP="00F70D94">
      <w:pPr>
        <w:pStyle w:val="ListParagraph"/>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considered "exempt" within the DEC regulatory framework;</w:t>
      </w:r>
    </w:p>
    <w:p w:rsidR="00F70D94" w:rsidRDefault="00F70D94" w:rsidP="00F70D94">
      <w:pPr>
        <w:rPr>
          <w:rFonts w:ascii="Times New Roman" w:eastAsia="Times New Roman" w:hAnsi="Times New Roman"/>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Installation and use of specific emission control technology, identified through the federal National Gas Star Program</w:t>
      </w:r>
      <w:r>
        <w:rPr>
          <w:rFonts w:ascii="Times New Roman" w:eastAsia="Times New Roman" w:hAnsi="Times New Roman"/>
          <w:color w:val="000000"/>
        </w:rPr>
        <w:t>, including, but not limited to:</w:t>
      </w:r>
    </w:p>
    <w:p w:rsidR="00F70D94" w:rsidRDefault="00F70D94" w:rsidP="00F70D94">
      <w:pPr>
        <w:ind w:left="720"/>
        <w:textAlignment w:val="baseline"/>
        <w:rPr>
          <w:rFonts w:ascii="Times New Roman" w:eastAsia="Times New Roman" w:hAnsi="Times New Roman"/>
          <w:color w:val="000000"/>
        </w:rPr>
      </w:pP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Dry seals on all centrifugal compressors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Automatic air to fuel ratio (AFR) controls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Oxidation catalysts and selective catalytic reduction (SCR) on exhaust stacks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Vapor recovery technology for reciprocating compressors, storage tanks, and other sources of fugitive or vented emissions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Static seals on reciprocating compressor rods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Dry low-NOx burners (DLNB)</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Low emission combustion (LEC)</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SCONOx or equivalent technology</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Zero-emission dehydrators and similar closed-system technology to avoid venting of gas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Electric or compressed air starters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Electric or compressed air actuators instead of gas-operated pneumatic actuators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Post-combustion particulate matter controls such as electrostatic precipitators,</w:t>
      </w:r>
    </w:p>
    <w:p w:rsidR="00F70D94" w:rsidRDefault="00F70D94" w:rsidP="00F70D94">
      <w:pPr>
        <w:ind w:left="720" w:firstLine="720"/>
        <w:rPr>
          <w:rFonts w:ascii="Times New Roman" w:eastAsia="Times New Roman" w:hAnsi="Times New Roman"/>
        </w:rPr>
      </w:pPr>
      <w:r>
        <w:rPr>
          <w:rFonts w:ascii="Times New Roman" w:eastAsia="Times New Roman" w:hAnsi="Times New Roman"/>
          <w:color w:val="000000"/>
        </w:rPr>
        <w:lastRenderedPageBreak/>
        <w:t>baghouses, and scrubbers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Interior and exterior corrosion protection, such as plastic enamel sprays</w:t>
      </w:r>
    </w:p>
    <w:p w:rsidR="00F70D94" w:rsidRDefault="00F70D94" w:rsidP="00F70D94">
      <w:pPr>
        <w:numPr>
          <w:ilvl w:val="1"/>
          <w:numId w:val="1"/>
        </w:numPr>
        <w:textAlignment w:val="baseline"/>
        <w:rPr>
          <w:rFonts w:ascii="Times New Roman" w:eastAsia="Times New Roman" w:hAnsi="Times New Roman"/>
          <w:color w:val="000000"/>
        </w:rPr>
      </w:pPr>
      <w:r>
        <w:rPr>
          <w:rFonts w:ascii="Times New Roman" w:eastAsia="Times New Roman" w:hAnsi="Times New Roman"/>
          <w:color w:val="000000"/>
        </w:rPr>
        <w:t>Electric motor compressors where applicable;</w:t>
      </w:r>
      <w:r>
        <w:rPr>
          <w:rFonts w:ascii="Times New Roman" w:eastAsia="Times New Roman" w:hAnsi="Times New Roman"/>
        </w:rPr>
        <w:br/>
      </w: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Implementation of practices, identified through the National Gas Star program</w:t>
      </w:r>
      <w:r>
        <w:rPr>
          <w:rFonts w:ascii="Times New Roman" w:eastAsia="Times New Roman" w:hAnsi="Times New Roman"/>
          <w:color w:val="000000"/>
        </w:rPr>
        <w:t>, to reduce natural gas leakage and blowdowns, including but not limited to maintaining compressors at pipeline pressure when off-line, redirecting blowdown gas to lower-pressure lines, cap testing, use of inert gases at pigging stations, and more aggressive maintenance of packing rings and compressor rods than required by existing regulations;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 xml:space="preserve">Continuous monitoring of pollutants including toxic chemicals, criteria pollutants, ultra-fine particulate matter, individual VOCs, as well as methane, in real time </w:t>
      </w:r>
      <w:r>
        <w:rPr>
          <w:rFonts w:ascii="Times New Roman" w:eastAsia="Times New Roman" w:hAnsi="Times New Roman"/>
          <w:color w:val="000000"/>
        </w:rPr>
        <w:t>for all gas infrastructure facilities at the stack, fence line, and within nearby communities, with such data made readily available to the public, such as by online access;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Onsite verification of compliance with regulatory requirements and permit conditions by independent registered inspectors</w:t>
      </w:r>
      <w:r>
        <w:rPr>
          <w:rFonts w:ascii="Times New Roman" w:eastAsia="Times New Roman" w:hAnsi="Times New Roman"/>
          <w:color w:val="000000"/>
        </w:rPr>
        <w:t xml:space="preserve"> through scheduled and random visits (i.e., no “self audits”);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Rigorous quarterly inspection</w:t>
      </w:r>
      <w:r>
        <w:rPr>
          <w:rFonts w:ascii="Times New Roman" w:eastAsia="Times New Roman" w:hAnsi="Times New Roman"/>
          <w:color w:val="000000"/>
        </w:rPr>
        <w:t xml:space="preserve"> by independent registered personnel with regular reports submitted to the DEC and made available to the public to detect and ensure timely elimination of natural gas leaks at gas infrastructure facilities, using comprehensive detection methods such as aerial and ground-level laser methane assessment, organic vapor analyzers (OVAs), toxic vapor analyzers (TVAs), sorbent tubes, SUMMA canisters, infrared cameras, as well as real-time monitoring with Fourier Transform Infrared (FTIR) spectroscopy and other remote sensing along pipelines;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48-hour or greater advanced notification to all County and local governments within a six (6) mile radius of gas infrastructure facilities of all planned blowdowns</w:t>
      </w:r>
      <w:r>
        <w:rPr>
          <w:rFonts w:ascii="Times New Roman" w:eastAsia="Times New Roman" w:hAnsi="Times New Roman"/>
          <w:color w:val="000000"/>
        </w:rPr>
        <w:t>, regardless of size, and other chemical releases; notification to all County and local governments within a six (6) mile radius of gas infrastructure facilities within 30 minutes of all unplanned blowdowns, regardless of size, and other chemical releases at all gas infrastructure facilities; and suspension of planned blowdowns or other chemical releases during poor air quality days as defined by the EPA Air Quality Index (e.g., ‘Unhealthy for Sensitive Groups, AQI &gt; 101) as well as when weather conditions would increase exposure to air pollutants;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rPr>
        <w:t xml:space="preserve">Within 6 months of effective date, </w:t>
      </w:r>
      <w:r>
        <w:rPr>
          <w:rFonts w:ascii="Times New Roman" w:eastAsia="Times New Roman" w:hAnsi="Times New Roman"/>
          <w:color w:val="000000"/>
          <w:u w:val="single"/>
        </w:rPr>
        <w:t>requirement of replacement or retrofitting of technology and updating of site practices for existing gas infrastructure facilities</w:t>
      </w:r>
      <w:r>
        <w:rPr>
          <w:rFonts w:ascii="Times New Roman" w:eastAsia="Times New Roman" w:hAnsi="Times New Roman"/>
          <w:color w:val="000000"/>
        </w:rPr>
        <w:t>, to ensure compliance with applicable regulatory requirements and best management practices;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t>Retention of chain of custody records</w:t>
      </w:r>
      <w:r>
        <w:rPr>
          <w:rFonts w:ascii="Times New Roman" w:eastAsia="Times New Roman" w:hAnsi="Times New Roman"/>
          <w:color w:val="000000"/>
        </w:rPr>
        <w:t xml:space="preserve"> and tracking for all industrial waste removed from gas infrastructure facilities;</w:t>
      </w:r>
    </w:p>
    <w:p w:rsidR="00F70D94" w:rsidRDefault="00F70D94" w:rsidP="00F70D94">
      <w:pPr>
        <w:textAlignment w:val="baseline"/>
        <w:rPr>
          <w:rFonts w:ascii="Times New Roman" w:eastAsia="Times New Roman" w:hAnsi="Times New Roman"/>
          <w:color w:val="000000"/>
        </w:rPr>
      </w:pPr>
    </w:p>
    <w:p w:rsidR="00F70D94" w:rsidRDefault="00F70D94" w:rsidP="00F70D94">
      <w:pPr>
        <w:numPr>
          <w:ilvl w:val="0"/>
          <w:numId w:val="1"/>
        </w:numPr>
        <w:textAlignment w:val="baseline"/>
        <w:rPr>
          <w:rFonts w:ascii="Times New Roman" w:eastAsia="Times New Roman" w:hAnsi="Times New Roman"/>
          <w:color w:val="000000"/>
        </w:rPr>
      </w:pPr>
      <w:r>
        <w:rPr>
          <w:rFonts w:ascii="Times New Roman" w:eastAsia="Times New Roman" w:hAnsi="Times New Roman"/>
          <w:color w:val="000000"/>
          <w:u w:val="single"/>
        </w:rPr>
        <w:lastRenderedPageBreak/>
        <w:t>Strict enforcement of all best management practices and protocols</w:t>
      </w:r>
      <w:r>
        <w:rPr>
          <w:rFonts w:ascii="Times New Roman" w:eastAsia="Times New Roman" w:hAnsi="Times New Roman"/>
          <w:color w:val="000000"/>
        </w:rPr>
        <w:t xml:space="preserve"> for gas infrastructure facilities, to ensure protection of public health, safety, and the environment.</w:t>
      </w:r>
    </w:p>
    <w:p w:rsidR="00F70D94" w:rsidRDefault="00F70D94" w:rsidP="00F70D94">
      <w:pPr>
        <w:ind w:left="720"/>
        <w:textAlignment w:val="baseline"/>
        <w:rPr>
          <w:rFonts w:ascii="Times New Roman" w:eastAsia="Times New Roman" w:hAnsi="Times New Roman"/>
          <w:color w:val="000000"/>
        </w:rPr>
      </w:pPr>
    </w:p>
    <w:p w:rsidR="00F70D94" w:rsidRDefault="00F70D94" w:rsidP="00F70D94">
      <w:pPr>
        <w:rPr>
          <w:rFonts w:ascii="Times New Roman" w:eastAsia="Times New Roman" w:hAnsi="Times New Roman"/>
        </w:rPr>
      </w:pPr>
      <w:r>
        <w:rPr>
          <w:rFonts w:ascii="Times New Roman" w:eastAsia="Times New Roman" w:hAnsi="Times New Roman"/>
          <w:color w:val="000000"/>
        </w:rPr>
        <w:t>Additionally, it is critical for the health and safety of New Yorkers that the DEC and the DOH take the following steps:</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rPr>
        <w:t>The DEC, in cooperation with the DOH, promulgate standards that are more stringent and performance requirements, including but not limited to the current regulated levels of criteria pollutants, to address deficiencies in NAAQS, which fail to consider human toxicity in populations proximate to gas infrastructure facilities, and any other deficiencies affecting public health, safety, or environmental protection.</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u w:val="single"/>
        </w:rPr>
        <w:t>Revision of the DEC’s Air Toxics Program</w:t>
      </w:r>
      <w:r>
        <w:rPr>
          <w:rFonts w:ascii="Times New Roman" w:eastAsia="Times New Roman" w:hAnsi="Times New Roman"/>
          <w:color w:val="000000"/>
        </w:rPr>
        <w:t>, including 6 NYCRR Part 212, DAR-1 modeling protocol and guidance, AGC/SGC concentrations, and assessment tools, in order to protect people and vulnerable subpopulations from exposure to toxic air contaminants emitted from natural gas infrastructure.</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rPr>
      </w:pPr>
      <w:r>
        <w:rPr>
          <w:rFonts w:ascii="Times New Roman" w:eastAsia="Times New Roman" w:hAnsi="Times New Roman"/>
          <w:color w:val="000000"/>
        </w:rPr>
        <w:t xml:space="preserve">The DOH in cooperation with the DEC </w:t>
      </w:r>
      <w:r>
        <w:rPr>
          <w:rFonts w:ascii="Times New Roman" w:eastAsia="Times New Roman" w:hAnsi="Times New Roman"/>
          <w:color w:val="000000"/>
          <w:u w:val="single"/>
        </w:rPr>
        <w:t>require and oversee a comprehensive, independent Health Impact Assessment (HIA) as outlined by the Centers for Disease Control and the National Academy of Sciences</w:t>
      </w:r>
      <w:r>
        <w:rPr>
          <w:rFonts w:ascii="Times New Roman" w:eastAsia="Times New Roman" w:hAnsi="Times New Roman"/>
          <w:color w:val="000000"/>
        </w:rPr>
        <w:t>, incorporating the latest peer reviewed science, to be conducted by an independent public health entity and include cumulative short and long-term, direct and indirect impacts from all natural gas infrastructure components, emissions from operations including blowdowns, leaks, and spills; and a thorough analysis of the chemical emissions and radioactive contaminants, as well as their concentrations, persistence, and dispersion; and that a health registry should be established and maintained with all data available to the public.</w:t>
      </w:r>
    </w:p>
    <w:p w:rsidR="00F70D94" w:rsidRDefault="00F70D94" w:rsidP="00F70D94">
      <w:pPr>
        <w:rPr>
          <w:rFonts w:ascii="Times New Roman" w:eastAsia="Times New Roman" w:hAnsi="Times New Roman"/>
        </w:rPr>
      </w:pPr>
    </w:p>
    <w:p w:rsidR="00F70D94" w:rsidRDefault="00F70D94" w:rsidP="00F70D94">
      <w:pPr>
        <w:rPr>
          <w:rFonts w:ascii="Times New Roman" w:eastAsia="Times New Roman" w:hAnsi="Times New Roman"/>
          <w:color w:val="000000"/>
        </w:rPr>
      </w:pPr>
      <w:r>
        <w:rPr>
          <w:rFonts w:ascii="Times New Roman" w:eastAsia="Times New Roman" w:hAnsi="Times New Roman"/>
          <w:color w:val="000000"/>
        </w:rPr>
        <w:t>Development of DEC State Environmental Quality Review (SEQR) guidance to ensure that all relevant state agencies adequately address all cumulative impacts including but not limited to greenhouse gases and climate change during environmental reviews for gas infrastructure projects. Protecting public health, reducing harm caused by gas infrastructure, and tackling climate change require strong, comprehensive, and immediate action. Our health and welfare depend on your full adoption of these recommendations.</w:t>
      </w:r>
    </w:p>
    <w:p w:rsidR="00F70D94" w:rsidRDefault="00F70D94" w:rsidP="00F70D94">
      <w:pPr>
        <w:rPr>
          <w:rFonts w:ascii="Times New Roman" w:eastAsia="Times New Roman" w:hAnsi="Times New Roman"/>
          <w:color w:val="000000"/>
        </w:rPr>
      </w:pPr>
    </w:p>
    <w:p w:rsidR="00F70D94" w:rsidRDefault="00F70D94" w:rsidP="00F70D94">
      <w:pPr>
        <w:rPr>
          <w:rFonts w:ascii="Times New Roman" w:eastAsia="Times New Roman" w:hAnsi="Times New Roman"/>
          <w:color w:val="000000"/>
        </w:rPr>
      </w:pPr>
      <w:r>
        <w:rPr>
          <w:rFonts w:ascii="Times New Roman" w:eastAsia="Times New Roman" w:hAnsi="Times New Roman"/>
          <w:color w:val="000000"/>
        </w:rPr>
        <w:t>Thank you very much for your consideration.</w:t>
      </w:r>
    </w:p>
    <w:p w:rsidR="00F70D94" w:rsidRDefault="00F70D94" w:rsidP="00F70D94">
      <w:pPr>
        <w:rPr>
          <w:rFonts w:ascii="Times New Roman" w:eastAsia="Times New Roman" w:hAnsi="Times New Roman"/>
          <w:color w:val="000000"/>
        </w:rPr>
      </w:pPr>
    </w:p>
    <w:p w:rsidR="00F70D94" w:rsidRDefault="00F70D94" w:rsidP="00F70D94">
      <w:pPr>
        <w:rPr>
          <w:rFonts w:ascii="Times New Roman" w:eastAsia="Times New Roman" w:hAnsi="Times New Roman"/>
          <w:color w:val="000000"/>
        </w:rPr>
      </w:pPr>
      <w:r>
        <w:rPr>
          <w:rFonts w:ascii="Times New Roman" w:eastAsia="Times New Roman" w:hAnsi="Times New Roman"/>
          <w:color w:val="000000"/>
        </w:rPr>
        <w:t>Sincerely,</w:t>
      </w:r>
    </w:p>
    <w:p w:rsidR="00F70D94" w:rsidRDefault="00F70D94" w:rsidP="00F70D94">
      <w:pPr>
        <w:rPr>
          <w:rFonts w:ascii="Times New Roman" w:eastAsia="Times New Roman" w:hAnsi="Times New Roman"/>
          <w:color w:val="000000"/>
        </w:rPr>
      </w:pPr>
    </w:p>
    <w:p w:rsidR="00F70D94" w:rsidRDefault="00770A19" w:rsidP="00F70D94">
      <w:pPr>
        <w:rPr>
          <w:rFonts w:ascii="Times New Roman" w:eastAsia="Times New Roman" w:hAnsi="Times New Roman"/>
          <w:color w:val="000000"/>
        </w:rPr>
      </w:pPr>
      <w:r>
        <w:rPr>
          <w:rFonts w:ascii="Times New Roman" w:eastAsia="Times New Roman" w:hAnsi="Times New Roman"/>
          <w:noProof/>
          <w:color w:val="000000"/>
        </w:rPr>
        <w:drawing>
          <wp:anchor distT="0" distB="0" distL="114300" distR="114300" simplePos="0" relativeHeight="251658240" behindDoc="1" locked="0" layoutInCell="1" allowOverlap="1">
            <wp:simplePos x="0" y="0"/>
            <wp:positionH relativeFrom="column">
              <wp:posOffset>0</wp:posOffset>
            </wp:positionH>
            <wp:positionV relativeFrom="paragraph">
              <wp:posOffset>-3175</wp:posOffset>
            </wp:positionV>
            <wp:extent cx="2286000" cy="681228"/>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terHarckhamSignature09.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286000" cy="681228"/>
                    </a:xfrm>
                    <a:prstGeom prst="rect">
                      <a:avLst/>
                    </a:prstGeom>
                  </pic:spPr>
                </pic:pic>
              </a:graphicData>
            </a:graphic>
          </wp:anchor>
        </w:drawing>
      </w:r>
    </w:p>
    <w:p w:rsidR="00F70D94" w:rsidRDefault="00F70D94" w:rsidP="00F70D94">
      <w:pPr>
        <w:rPr>
          <w:rFonts w:ascii="Times New Roman" w:eastAsia="Times New Roman" w:hAnsi="Times New Roman"/>
        </w:rPr>
      </w:pPr>
    </w:p>
    <w:p w:rsidR="00F70D94" w:rsidRDefault="00F70D94" w:rsidP="00F70D94">
      <w:pPr>
        <w:spacing w:after="240"/>
        <w:rPr>
          <w:rFonts w:ascii="Times New Roman" w:eastAsia="Times New Roman" w:hAnsi="Times New Roman"/>
        </w:rPr>
      </w:pPr>
    </w:p>
    <w:p w:rsidR="00F70D94" w:rsidRDefault="00F70D94" w:rsidP="00F70D94">
      <w:pPr>
        <w:rPr>
          <w:rFonts w:ascii="Times New Roman" w:eastAsia="Times New Roman" w:hAnsi="Times New Roman"/>
          <w:color w:val="000000"/>
        </w:rPr>
      </w:pPr>
      <w:r>
        <w:rPr>
          <w:rFonts w:ascii="Times New Roman" w:eastAsia="Times New Roman" w:hAnsi="Times New Roman"/>
          <w:color w:val="000000"/>
        </w:rPr>
        <w:t>Peter B Harckham</w:t>
      </w:r>
    </w:p>
    <w:p w:rsidR="00D50C6D" w:rsidRPr="00770A19" w:rsidRDefault="00F70D94">
      <w:pPr>
        <w:rPr>
          <w:rFonts w:ascii="Times New Roman" w:eastAsia="Times New Roman" w:hAnsi="Times New Roman"/>
        </w:rPr>
      </w:pPr>
      <w:r>
        <w:rPr>
          <w:rFonts w:ascii="Times New Roman" w:eastAsia="Times New Roman" w:hAnsi="Times New Roman"/>
        </w:rPr>
        <w:t>NY State Senate, 40</w:t>
      </w:r>
      <w:r>
        <w:rPr>
          <w:rFonts w:ascii="Times New Roman" w:eastAsia="Times New Roman" w:hAnsi="Times New Roman"/>
          <w:vertAlign w:val="superscript"/>
        </w:rPr>
        <w:t>th</w:t>
      </w:r>
      <w:r>
        <w:rPr>
          <w:rFonts w:ascii="Times New Roman" w:eastAsia="Times New Roman" w:hAnsi="Times New Roman"/>
        </w:rPr>
        <w:t xml:space="preserve"> S.D.</w:t>
      </w:r>
    </w:p>
    <w:sectPr w:rsidR="00D50C6D" w:rsidRPr="00770A19" w:rsidSect="00E6395B">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0127E0"/>
    <w:multiLevelType w:val="hybridMultilevel"/>
    <w:tmpl w:val="0742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70D94"/>
    <w:rsid w:val="002D037E"/>
    <w:rsid w:val="003A1AF2"/>
    <w:rsid w:val="0069669B"/>
    <w:rsid w:val="00770A19"/>
    <w:rsid w:val="0090014F"/>
    <w:rsid w:val="00D50C6D"/>
    <w:rsid w:val="00E6395B"/>
    <w:rsid w:val="00EA4707"/>
    <w:rsid w:val="00F70D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D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0D94"/>
    <w:pPr>
      <w:ind w:left="720"/>
      <w:contextualSpacing/>
    </w:pPr>
  </w:style>
  <w:style w:type="paragraph" w:styleId="BalloonText">
    <w:name w:val="Balloon Text"/>
    <w:basedOn w:val="Normal"/>
    <w:link w:val="BalloonTextChar"/>
    <w:uiPriority w:val="99"/>
    <w:semiHidden/>
    <w:unhideWhenUsed/>
    <w:rsid w:val="00E6395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95B"/>
    <w:rPr>
      <w:rFonts w:ascii="Segoe UI" w:hAnsi="Segoe UI" w:cs="Segoe UI"/>
      <w:sz w:val="18"/>
      <w:szCs w:val="18"/>
    </w:rPr>
  </w:style>
  <w:style w:type="paragraph" w:customStyle="1" w:styleId="Default">
    <w:name w:val="Default"/>
    <w:rsid w:val="0090014F"/>
    <w:pPr>
      <w:autoSpaceDE w:val="0"/>
      <w:autoSpaceDN w:val="0"/>
      <w:adjustRightInd w:val="0"/>
    </w:pPr>
    <w:rPr>
      <w:rFonts w:ascii="Times New Roman" w:hAnsi="Times New Roman"/>
      <w:color w:val="000000"/>
    </w:rPr>
  </w:style>
</w:styles>
</file>

<file path=word/webSettings.xml><?xml version="1.0" encoding="utf-8"?>
<w:webSettings xmlns:r="http://schemas.openxmlformats.org/officeDocument/2006/relationships" xmlns:w="http://schemas.openxmlformats.org/wordprocessingml/2006/main">
  <w:divs>
    <w:div w:id="84282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1422</Words>
  <Characters>8110</Characters>
  <Application>Microsoft Office Word</Application>
  <DocSecurity>4</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senateuser</dc:creator>
  <cp:lastModifiedBy>Seven Steps</cp:lastModifiedBy>
  <cp:revision>2</cp:revision>
  <cp:lastPrinted>2019-01-24T17:53:00Z</cp:lastPrinted>
  <dcterms:created xsi:type="dcterms:W3CDTF">2019-01-24T20:54:00Z</dcterms:created>
  <dcterms:modified xsi:type="dcterms:W3CDTF">2019-01-24T20:54:00Z</dcterms:modified>
</cp:coreProperties>
</file>