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Mar>
          <w:left w:w="0" w:type="dxa"/>
          <w:right w:w="0" w:type="dxa"/>
        </w:tblCellMar>
        <w:tblLook w:val="04A0"/>
      </w:tblPr>
      <w:tblGrid>
        <w:gridCol w:w="9360"/>
      </w:tblGrid>
      <w:tr w:rsidR="00C64ABE" w:rsidTr="00C64ABE">
        <w:trPr>
          <w:jc w:val="center"/>
        </w:trPr>
        <w:tc>
          <w:tcPr>
            <w:tcW w:w="0" w:type="auto"/>
            <w:shd w:val="clear" w:color="auto" w:fill="FFFFFF"/>
            <w:tcMar>
              <w:top w:w="135" w:type="dxa"/>
              <w:left w:w="0" w:type="dxa"/>
              <w:bottom w:w="0" w:type="dxa"/>
              <w:right w:w="0" w:type="dxa"/>
            </w:tcMar>
            <w:hideMark/>
          </w:tcPr>
          <w:tbl>
            <w:tblPr>
              <w:tblW w:w="5000" w:type="pct"/>
              <w:tblCellMar>
                <w:left w:w="0" w:type="dxa"/>
                <w:right w:w="0" w:type="dxa"/>
              </w:tblCellMar>
              <w:tblLook w:val="04A0"/>
            </w:tblPr>
            <w:tblGrid>
              <w:gridCol w:w="9360"/>
            </w:tblGrid>
            <w:tr w:rsidR="00C64ABE">
              <w:tc>
                <w:tcPr>
                  <w:tcW w:w="0" w:type="auto"/>
                  <w:tcMar>
                    <w:top w:w="135" w:type="dxa"/>
                    <w:left w:w="135" w:type="dxa"/>
                    <w:bottom w:w="135" w:type="dxa"/>
                    <w:right w:w="135" w:type="dxa"/>
                  </w:tcMar>
                  <w:hideMark/>
                </w:tcPr>
                <w:tbl>
                  <w:tblPr>
                    <w:tblpPr w:leftFromText="45" w:rightFromText="45" w:vertAnchor="text"/>
                    <w:tblW w:w="5000" w:type="pct"/>
                    <w:tblCellMar>
                      <w:left w:w="0" w:type="dxa"/>
                      <w:right w:w="0" w:type="dxa"/>
                    </w:tblCellMar>
                    <w:tblLook w:val="04A0"/>
                  </w:tblPr>
                  <w:tblGrid>
                    <w:gridCol w:w="9090"/>
                  </w:tblGrid>
                  <w:tr w:rsidR="00C64ABE">
                    <w:tc>
                      <w:tcPr>
                        <w:tcW w:w="0" w:type="auto"/>
                        <w:tcMar>
                          <w:top w:w="0" w:type="dxa"/>
                          <w:left w:w="135" w:type="dxa"/>
                          <w:bottom w:w="0" w:type="dxa"/>
                          <w:right w:w="135" w:type="dxa"/>
                        </w:tcMar>
                        <w:hideMark/>
                      </w:tcPr>
                      <w:p w:rsidR="00C64ABE" w:rsidRDefault="00C64ABE">
                        <w:pPr>
                          <w:jc w:val="center"/>
                        </w:pPr>
                        <w:r>
                          <w:rPr>
                            <w:noProof/>
                          </w:rPr>
                          <w:drawing>
                            <wp:inline distT="0" distB="0" distL="0" distR="0">
                              <wp:extent cx="5372100" cy="2686050"/>
                              <wp:effectExtent l="19050" t="0" r="0" b="0"/>
                              <wp:docPr id="1" name="Picture 1" descr="https://mcusercontent.com/9ad5d537e96ebbd843e30ef69/images/ffe86c8c-8299-4cae-b7bd-1ff10dbe29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cusercontent.com/9ad5d537e96ebbd843e30ef69/images/ffe86c8c-8299-4cae-b7bd-1ff10dbe2905.jpg"/>
                                      <pic:cNvPicPr>
                                        <a:picLocks noChangeAspect="1" noChangeArrowheads="1"/>
                                      </pic:cNvPicPr>
                                    </pic:nvPicPr>
                                    <pic:blipFill>
                                      <a:blip r:embed="rId4" cstate="print"/>
                                      <a:srcRect/>
                                      <a:stretch>
                                        <a:fillRect/>
                                      </a:stretch>
                                    </pic:blipFill>
                                    <pic:spPr bwMode="auto">
                                      <a:xfrm>
                                        <a:off x="0" y="0"/>
                                        <a:ext cx="5372100" cy="2686050"/>
                                      </a:xfrm>
                                      <a:prstGeom prst="rect">
                                        <a:avLst/>
                                      </a:prstGeom>
                                      <a:noFill/>
                                      <a:ln w="9525">
                                        <a:noFill/>
                                        <a:miter lim="800000"/>
                                        <a:headEnd/>
                                        <a:tailEnd/>
                                      </a:ln>
                                    </pic:spPr>
                                  </pic:pic>
                                </a:graphicData>
                              </a:graphic>
                            </wp:inline>
                          </w:drawing>
                        </w:r>
                      </w:p>
                    </w:tc>
                  </w:tr>
                </w:tbl>
                <w:p w:rsidR="00C64ABE" w:rsidRDefault="00C64ABE">
                  <w:pPr>
                    <w:rPr>
                      <w:rFonts w:asciiTheme="minorHAnsi" w:eastAsiaTheme="minorEastAsia" w:hAnsiTheme="minorHAnsi"/>
                      <w:sz w:val="22"/>
                      <w:szCs w:val="22"/>
                    </w:rPr>
                  </w:pPr>
                </w:p>
              </w:tc>
            </w:tr>
          </w:tbl>
          <w:p w:rsidR="00C64ABE" w:rsidRDefault="00C64ABE">
            <w:pPr>
              <w:rPr>
                <w:rFonts w:asciiTheme="minorHAnsi" w:eastAsiaTheme="minorEastAsia" w:hAnsiTheme="minorHAnsi"/>
                <w:sz w:val="22"/>
                <w:szCs w:val="22"/>
              </w:rPr>
            </w:pPr>
          </w:p>
        </w:tc>
      </w:tr>
      <w:tr w:rsidR="00C64ABE" w:rsidTr="00C64ABE">
        <w:trPr>
          <w:jc w:val="center"/>
        </w:trPr>
        <w:tc>
          <w:tcPr>
            <w:tcW w:w="0" w:type="auto"/>
            <w:tcBorders>
              <w:top w:val="nil"/>
              <w:left w:val="nil"/>
              <w:bottom w:val="single" w:sz="12" w:space="0" w:color="EAEAEA"/>
              <w:right w:val="nil"/>
            </w:tcBorders>
            <w:shd w:val="clear" w:color="auto" w:fill="FFFFFF"/>
            <w:tcMar>
              <w:top w:w="0" w:type="dxa"/>
              <w:left w:w="0" w:type="dxa"/>
              <w:bottom w:w="135" w:type="dxa"/>
              <w:right w:w="0" w:type="dxa"/>
            </w:tcMar>
            <w:hideMark/>
          </w:tcPr>
          <w:tbl>
            <w:tblPr>
              <w:tblW w:w="5000" w:type="pct"/>
              <w:tblCellMar>
                <w:left w:w="0" w:type="dxa"/>
                <w:right w:w="0" w:type="dxa"/>
              </w:tblCellMar>
              <w:tblLook w:val="04A0"/>
            </w:tblPr>
            <w:tblGrid>
              <w:gridCol w:w="9360"/>
            </w:tblGrid>
            <w:tr w:rsidR="00C64ABE">
              <w:tc>
                <w:tcPr>
                  <w:tcW w:w="0" w:type="auto"/>
                  <w:tcMar>
                    <w:top w:w="135" w:type="dxa"/>
                    <w:left w:w="0" w:type="dxa"/>
                    <w:bottom w:w="0" w:type="dxa"/>
                    <w:right w:w="0" w:type="dxa"/>
                  </w:tcMar>
                  <w:hideMark/>
                </w:tcPr>
                <w:tbl>
                  <w:tblPr>
                    <w:tblpPr w:leftFromText="45" w:rightFromText="45" w:vertAnchor="text"/>
                    <w:tblW w:w="5000" w:type="pct"/>
                    <w:tblCellMar>
                      <w:left w:w="0" w:type="dxa"/>
                      <w:right w:w="0" w:type="dxa"/>
                    </w:tblCellMar>
                    <w:tblLook w:val="04A0"/>
                  </w:tblPr>
                  <w:tblGrid>
                    <w:gridCol w:w="9360"/>
                  </w:tblGrid>
                  <w:tr w:rsidR="00C64ABE">
                    <w:tc>
                      <w:tcPr>
                        <w:tcW w:w="0" w:type="auto"/>
                        <w:tcMar>
                          <w:top w:w="0" w:type="dxa"/>
                          <w:left w:w="270" w:type="dxa"/>
                          <w:bottom w:w="135" w:type="dxa"/>
                          <w:right w:w="270" w:type="dxa"/>
                        </w:tcMar>
                        <w:hideMark/>
                      </w:tcPr>
                      <w:p w:rsidR="00C64ABE" w:rsidRDefault="00C64ABE">
                        <w:pPr>
                          <w:pStyle w:val="Heading1"/>
                          <w:spacing w:before="0" w:beforeAutospacing="0" w:after="0" w:afterAutospacing="0" w:line="300" w:lineRule="auto"/>
                          <w:jc w:val="center"/>
                          <w:rPr>
                            <w:rFonts w:ascii="Helvetica" w:eastAsiaTheme="minorEastAsia" w:hAnsi="Helvetica"/>
                            <w:color w:val="202020"/>
                            <w:sz w:val="39"/>
                            <w:szCs w:val="39"/>
                          </w:rPr>
                        </w:pPr>
                        <w:r>
                          <w:rPr>
                            <w:rFonts w:ascii="Helvetica" w:eastAsiaTheme="minorEastAsia" w:hAnsi="Helvetica"/>
                            <w:color w:val="202020"/>
                            <w:sz w:val="39"/>
                            <w:szCs w:val="39"/>
                          </w:rPr>
                          <w:t>Thank you for joining the Renewable Heat Now online teach-in last Monday.</w:t>
                        </w:r>
                        <w:r>
                          <w:rPr>
                            <w:rFonts w:ascii="Helvetica" w:eastAsiaTheme="minorEastAsia" w:hAnsi="Helvetica"/>
                            <w:color w:val="202020"/>
                            <w:sz w:val="39"/>
                            <w:szCs w:val="39"/>
                          </w:rPr>
                          <w:br/>
                          <w:t>Welcome to the campaign!</w:t>
                        </w:r>
                      </w:p>
                      <w:p w:rsidR="00C64ABE" w:rsidRDefault="00C64ABE">
                        <w:pPr>
                          <w:pStyle w:val="NormalWeb"/>
                          <w:spacing w:before="150" w:beforeAutospacing="0" w:after="150" w:afterAutospacing="0" w:line="360" w:lineRule="auto"/>
                          <w:rPr>
                            <w:rFonts w:ascii="Helvetica" w:hAnsi="Helvetica"/>
                            <w:color w:val="202020"/>
                          </w:rPr>
                        </w:pPr>
                        <w:r>
                          <w:rPr>
                            <w:rFonts w:ascii="Helvetica" w:hAnsi="Helvetica"/>
                            <w:color w:val="202020"/>
                          </w:rPr>
                          <w:t>We are sharing the gas planning case </w:t>
                        </w:r>
                        <w:hyperlink r:id="rId5" w:tgtFrame="_blank" w:history="1">
                          <w:r>
                            <w:rPr>
                              <w:rStyle w:val="Hyperlink"/>
                              <w:rFonts w:ascii="Helvetica" w:hAnsi="Helvetica"/>
                              <w:color w:val="007C89"/>
                            </w:rPr>
                            <w:t>teach-in recording</w:t>
                          </w:r>
                        </w:hyperlink>
                        <w:r>
                          <w:rPr>
                            <w:rFonts w:ascii="Helvetica" w:hAnsi="Helvetica"/>
                            <w:color w:val="202020"/>
                          </w:rPr>
                          <w:t xml:space="preserve">, </w:t>
                        </w:r>
                        <w:hyperlink r:id="rId6" w:tgtFrame="_blank" w:history="1">
                          <w:r>
                            <w:rPr>
                              <w:rStyle w:val="Hyperlink"/>
                              <w:rFonts w:ascii="Helvetica" w:hAnsi="Helvetica"/>
                              <w:color w:val="007C89"/>
                            </w:rPr>
                            <w:t>speaker slides</w:t>
                          </w:r>
                        </w:hyperlink>
                        <w:r>
                          <w:rPr>
                            <w:rFonts w:ascii="Helvetica" w:hAnsi="Helvetica"/>
                            <w:color w:val="202020"/>
                          </w:rPr>
                          <w:t>, a 2-minute </w:t>
                        </w:r>
                        <w:hyperlink r:id="rId7" w:tgtFrame="_blank" w:history="1">
                          <w:r>
                            <w:rPr>
                              <w:rStyle w:val="Hyperlink"/>
                              <w:rFonts w:ascii="Helvetica" w:hAnsi="Helvetica"/>
                              <w:color w:val="007C89"/>
                            </w:rPr>
                            <w:t>call to action video</w:t>
                          </w:r>
                        </w:hyperlink>
                        <w:r>
                          <w:rPr>
                            <w:rFonts w:ascii="Helvetica" w:hAnsi="Helvetica"/>
                            <w:color w:val="202020"/>
                          </w:rPr>
                          <w:t xml:space="preserve"> prepared by Sane Energy Project, and the </w:t>
                        </w:r>
                        <w:hyperlink r:id="rId8" w:tgtFrame="_blank" w:history="1">
                          <w:r>
                            <w:rPr>
                              <w:rStyle w:val="Hyperlink"/>
                              <w:rFonts w:ascii="Helvetica" w:hAnsi="Helvetica"/>
                              <w:color w:val="007C89"/>
                            </w:rPr>
                            <w:t>answered questions from the Q &amp; A</w:t>
                          </w:r>
                        </w:hyperlink>
                        <w:r>
                          <w:rPr>
                            <w:rFonts w:ascii="Helvetica" w:hAnsi="Helvetica"/>
                            <w:color w:val="202020"/>
                          </w:rPr>
                          <w:t>. We're hoping that the webinar will inspire you to take further steps in accelerating the adoption of ground-source (geothermal) and air-source heat pumps in New York to reduce the amount of fossil fuels used to heat and cool our homes and workplaces and advocating for state policies that will enable all New Yorkers to afford to make the switch to these renewable-ready heating and cooling technologies.</w:t>
                        </w:r>
                      </w:p>
                      <w:p w:rsidR="00C64ABE" w:rsidRDefault="00C64ABE">
                        <w:pPr>
                          <w:pStyle w:val="NormalWeb"/>
                          <w:spacing w:before="150" w:beforeAutospacing="0" w:after="150" w:afterAutospacing="0" w:line="360" w:lineRule="auto"/>
                          <w:rPr>
                            <w:rFonts w:ascii="Helvetica" w:hAnsi="Helvetica"/>
                            <w:color w:val="202020"/>
                          </w:rPr>
                        </w:pPr>
                        <w:r>
                          <w:rPr>
                            <w:rStyle w:val="Strong"/>
                            <w:rFonts w:ascii="Helvetica" w:hAnsi="Helvetica"/>
                            <w:color w:val="202020"/>
                            <w:sz w:val="30"/>
                            <w:szCs w:val="30"/>
                          </w:rPr>
                          <w:t>Urgent Next Steps</w:t>
                        </w:r>
                        <w:proofErr w:type="gramStart"/>
                        <w:r>
                          <w:rPr>
                            <w:rStyle w:val="Strong"/>
                            <w:rFonts w:ascii="Helvetica" w:hAnsi="Helvetica"/>
                            <w:color w:val="202020"/>
                            <w:sz w:val="30"/>
                            <w:szCs w:val="30"/>
                          </w:rPr>
                          <w:t>:</w:t>
                        </w:r>
                        <w:proofErr w:type="gramEnd"/>
                        <w:r>
                          <w:rPr>
                            <w:rFonts w:ascii="Helvetica" w:hAnsi="Helvetica"/>
                            <w:color w:val="202020"/>
                          </w:rPr>
                          <w:br/>
                        </w:r>
                        <w:r>
                          <w:rPr>
                            <w:rFonts w:ascii="Helvetica" w:hAnsi="Helvetica"/>
                            <w:color w:val="202020"/>
                          </w:rPr>
                          <w:br/>
                          <w:t xml:space="preserve">1. Join the </w:t>
                        </w:r>
                        <w:hyperlink r:id="rId9" w:tgtFrame="_blank" w:history="1">
                          <w:r>
                            <w:rPr>
                              <w:rStyle w:val="Hyperlink"/>
                              <w:rFonts w:ascii="Helvetica" w:hAnsi="Helvetica"/>
                              <w:color w:val="007C89"/>
                            </w:rPr>
                            <w:t>virtual People's Public Hearing</w:t>
                          </w:r>
                        </w:hyperlink>
                        <w:r>
                          <w:rPr>
                            <w:rFonts w:ascii="Helvetica" w:hAnsi="Helvetica"/>
                            <w:color w:val="202020"/>
                          </w:rPr>
                          <w:t xml:space="preserve"> Thursday, May 28 at 2pm to work on preventing two major gas expansions slated for New York. We must ramp up pressure on the Commission before their June 11 meeting, insisting they choose National Grid's "No Infrastructure Alternative," NOT the methane-boosting, </w:t>
                        </w:r>
                        <w:r>
                          <w:rPr>
                            <w:rFonts w:ascii="Helvetica" w:hAnsi="Helvetica"/>
                            <w:color w:val="202020"/>
                          </w:rPr>
                          <w:lastRenderedPageBreak/>
                          <w:t>pipeline-and-four-compressors plan. There's no time to lose.</w:t>
                        </w:r>
                        <w:r>
                          <w:rPr>
                            <w:rFonts w:ascii="Helvetica" w:hAnsi="Helvetica"/>
                            <w:color w:val="202020"/>
                          </w:rPr>
                          <w:br/>
                        </w:r>
                        <w:r>
                          <w:rPr>
                            <w:rFonts w:ascii="Helvetica" w:hAnsi="Helvetica"/>
                            <w:color w:val="202020"/>
                          </w:rPr>
                          <w:br/>
                          <w:t xml:space="preserve">2. If you are a member of an organization, business, religious group, grassroots group, please encourage them to </w:t>
                        </w:r>
                        <w:hyperlink r:id="rId10" w:tgtFrame="_blank" w:history="1">
                          <w:r>
                            <w:rPr>
                              <w:rStyle w:val="Hyperlink"/>
                              <w:rFonts w:ascii="Helvetica" w:hAnsi="Helvetica"/>
                              <w:color w:val="007C89"/>
                            </w:rPr>
                            <w:t>sign our group letter</w:t>
                          </w:r>
                        </w:hyperlink>
                        <w:r>
                          <w:rPr>
                            <w:rFonts w:ascii="Helvetica" w:hAnsi="Helvetica"/>
                            <w:color w:val="202020"/>
                          </w:rPr>
                          <w:t xml:space="preserve"> that urges the Commission to develop a comprehensive plan for an orderly, equitable, and rapid </w:t>
                        </w:r>
                        <w:proofErr w:type="spellStart"/>
                        <w:r>
                          <w:rPr>
                            <w:rFonts w:ascii="Helvetica" w:hAnsi="Helvetica"/>
                            <w:color w:val="202020"/>
                          </w:rPr>
                          <w:t>decapitalization</w:t>
                        </w:r>
                        <w:proofErr w:type="spellEnd"/>
                        <w:r>
                          <w:rPr>
                            <w:rFonts w:ascii="Helvetica" w:hAnsi="Helvetica"/>
                            <w:color w:val="202020"/>
                          </w:rPr>
                          <w:t xml:space="preserve"> of the utility gas system. There is strength in numbers; please sign. The deadline for signing is Friday, May 29.</w:t>
                        </w:r>
                        <w:r>
                          <w:rPr>
                            <w:rFonts w:ascii="Helvetica" w:hAnsi="Helvetica"/>
                            <w:color w:val="202020"/>
                          </w:rPr>
                          <w:br/>
                        </w:r>
                        <w:r>
                          <w:rPr>
                            <w:rFonts w:ascii="Helvetica" w:hAnsi="Helvetica"/>
                            <w:color w:val="202020"/>
                          </w:rPr>
                          <w:br/>
                          <w:t>3. </w:t>
                        </w:r>
                        <w:hyperlink r:id="rId11" w:tgtFrame="_blank" w:history="1">
                          <w:r>
                            <w:rPr>
                              <w:rStyle w:val="Hyperlink"/>
                              <w:rFonts w:ascii="Helvetica" w:hAnsi="Helvetica"/>
                              <w:color w:val="007C89"/>
                            </w:rPr>
                            <w:t>Submit your individual comment</w:t>
                          </w:r>
                        </w:hyperlink>
                        <w:r>
                          <w:rPr>
                            <w:rFonts w:ascii="Helvetica" w:hAnsi="Helvetica"/>
                            <w:color w:val="202020"/>
                          </w:rPr>
                          <w:t xml:space="preserve"> to the Public Service Commission about this very important gas planning case, and recruit 4 friends to do the same.</w:t>
                        </w:r>
                      </w:p>
                      <w:p w:rsidR="00C64ABE" w:rsidRDefault="00C64ABE">
                        <w:pPr>
                          <w:pStyle w:val="NormalWeb"/>
                          <w:spacing w:before="150" w:beforeAutospacing="0" w:after="150" w:afterAutospacing="0" w:line="360" w:lineRule="auto"/>
                          <w:rPr>
                            <w:rFonts w:ascii="Helvetica" w:hAnsi="Helvetica"/>
                            <w:color w:val="202020"/>
                          </w:rPr>
                        </w:pPr>
                        <w:r>
                          <w:rPr>
                            <w:rFonts w:ascii="Helvetica" w:hAnsi="Helvetica"/>
                            <w:color w:val="202020"/>
                          </w:rPr>
                          <w:t>We are very happy to welcome you to the Renewable Heat Now campaign! Thank you for joining us for these crucial fights to move New York off fossil fuels.</w:t>
                        </w:r>
                        <w:r>
                          <w:rPr>
                            <w:rFonts w:ascii="Helvetica" w:hAnsi="Helvetica"/>
                            <w:color w:val="202020"/>
                          </w:rPr>
                          <w:br/>
                        </w:r>
                        <w:r>
                          <w:rPr>
                            <w:rFonts w:ascii="Helvetica" w:hAnsi="Helvetica"/>
                            <w:color w:val="202020"/>
                          </w:rPr>
                          <w:br/>
                          <w:t>All the best,</w:t>
                        </w:r>
                        <w:r>
                          <w:rPr>
                            <w:rFonts w:ascii="Helvetica" w:hAnsi="Helvetica"/>
                            <w:color w:val="202020"/>
                          </w:rPr>
                          <w:br/>
                        </w:r>
                        <w:r>
                          <w:rPr>
                            <w:rFonts w:ascii="Helvetica" w:hAnsi="Helvetica"/>
                            <w:color w:val="202020"/>
                          </w:rPr>
                          <w:br/>
                        </w:r>
                        <w:r>
                          <w:rPr>
                            <w:rStyle w:val="Strong"/>
                            <w:rFonts w:ascii="Helvetica" w:hAnsi="Helvetica"/>
                            <w:color w:val="202020"/>
                          </w:rPr>
                          <w:t>The Renewable Heat Now campaign</w:t>
                        </w:r>
                      </w:p>
                    </w:tc>
                  </w:tr>
                </w:tbl>
                <w:p w:rsidR="00C64ABE" w:rsidRDefault="00C64ABE">
                  <w:pPr>
                    <w:rPr>
                      <w:rFonts w:asciiTheme="minorHAnsi" w:eastAsiaTheme="minorEastAsia" w:hAnsiTheme="minorHAnsi"/>
                      <w:sz w:val="22"/>
                      <w:szCs w:val="22"/>
                    </w:rPr>
                  </w:pPr>
                </w:p>
              </w:tc>
            </w:tr>
          </w:tbl>
          <w:p w:rsidR="00C64ABE" w:rsidRDefault="00C64ABE">
            <w:pPr>
              <w:rPr>
                <w:rFonts w:asciiTheme="minorHAnsi" w:eastAsiaTheme="minorEastAsia" w:hAnsiTheme="minorHAnsi"/>
                <w:sz w:val="22"/>
                <w:szCs w:val="22"/>
              </w:rPr>
            </w:pPr>
          </w:p>
        </w:tc>
      </w:tr>
    </w:tbl>
    <w:p w:rsidR="00056EF4" w:rsidRDefault="00056EF4"/>
    <w:sectPr w:rsidR="00056EF4" w:rsidSect="00056EF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64ABE"/>
    <w:rsid w:val="00056EF4"/>
    <w:rsid w:val="006D71E7"/>
    <w:rsid w:val="00795C08"/>
    <w:rsid w:val="00C64ABE"/>
    <w:rsid w:val="00FE74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4ABE"/>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FE74A2"/>
    <w:pPr>
      <w:spacing w:before="100" w:beforeAutospacing="1" w:after="100" w:afterAutospacing="1"/>
      <w:outlineLvl w:val="0"/>
    </w:pPr>
    <w:rPr>
      <w:rFonts w:eastAsia="Times New Roman"/>
      <w:b/>
      <w:bCs/>
      <w:kern w:val="36"/>
      <w:sz w:val="48"/>
      <w:szCs w:val="48"/>
    </w:rPr>
  </w:style>
  <w:style w:type="paragraph" w:styleId="Heading3">
    <w:name w:val="heading 3"/>
    <w:basedOn w:val="Normal"/>
    <w:next w:val="Normal"/>
    <w:link w:val="Heading3Char"/>
    <w:uiPriority w:val="9"/>
    <w:semiHidden/>
    <w:unhideWhenUsed/>
    <w:qFormat/>
    <w:rsid w:val="00FE74A2"/>
    <w:pPr>
      <w:keepNext/>
      <w:keepLines/>
      <w:spacing w:before="200"/>
      <w:outlineLvl w:val="2"/>
    </w:pPr>
    <w:rPr>
      <w:rFonts w:asciiTheme="majorHAnsi" w:eastAsiaTheme="majorEastAsia" w:hAnsiTheme="majorHAnsi" w:cstheme="majorBidi"/>
      <w:b/>
      <w:bCs/>
      <w:color w:val="4F81BD" w:themeColor="accent1"/>
      <w:sz w:val="22"/>
      <w:szCs w:val="22"/>
    </w:rPr>
  </w:style>
  <w:style w:type="paragraph" w:styleId="Heading4">
    <w:name w:val="heading 4"/>
    <w:basedOn w:val="Normal"/>
    <w:next w:val="Normal"/>
    <w:link w:val="Heading4Char"/>
    <w:uiPriority w:val="9"/>
    <w:semiHidden/>
    <w:unhideWhenUsed/>
    <w:qFormat/>
    <w:rsid w:val="00FE74A2"/>
    <w:pPr>
      <w:keepNext/>
      <w:keepLines/>
      <w:spacing w:before="200"/>
      <w:outlineLvl w:val="3"/>
    </w:pPr>
    <w:rPr>
      <w:rFonts w:asciiTheme="majorHAnsi" w:eastAsiaTheme="majorEastAsia" w:hAnsiTheme="majorHAnsi" w:cstheme="majorBidi"/>
      <w:b/>
      <w:bCs/>
      <w:i/>
      <w:iCs/>
      <w:color w:val="4F81BD"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E74A2"/>
    <w:rPr>
      <w:rFonts w:ascii="Times New Roman" w:eastAsia="Times New Roman" w:hAnsi="Times New Roman" w:cs="Times New Roman"/>
      <w:b/>
      <w:bCs/>
      <w:kern w:val="36"/>
      <w:sz w:val="48"/>
      <w:szCs w:val="48"/>
    </w:rPr>
  </w:style>
  <w:style w:type="character" w:customStyle="1" w:styleId="Heading3Char">
    <w:name w:val="Heading 3 Char"/>
    <w:basedOn w:val="DefaultParagraphFont"/>
    <w:link w:val="Heading3"/>
    <w:uiPriority w:val="9"/>
    <w:semiHidden/>
    <w:rsid w:val="00FE74A2"/>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semiHidden/>
    <w:rsid w:val="00FE74A2"/>
    <w:rPr>
      <w:rFonts w:asciiTheme="majorHAnsi" w:eastAsiaTheme="majorEastAsia" w:hAnsiTheme="majorHAnsi" w:cstheme="majorBidi"/>
      <w:b/>
      <w:bCs/>
      <w:i/>
      <w:iCs/>
      <w:color w:val="4F81BD" w:themeColor="accent1"/>
    </w:rPr>
  </w:style>
  <w:style w:type="character" w:styleId="Strong">
    <w:name w:val="Strong"/>
    <w:basedOn w:val="DefaultParagraphFont"/>
    <w:uiPriority w:val="22"/>
    <w:qFormat/>
    <w:rsid w:val="00FE74A2"/>
    <w:rPr>
      <w:b/>
      <w:bCs/>
    </w:rPr>
  </w:style>
  <w:style w:type="paragraph" w:styleId="NoSpacing">
    <w:name w:val="No Spacing"/>
    <w:uiPriority w:val="1"/>
    <w:qFormat/>
    <w:rsid w:val="00FE74A2"/>
    <w:pPr>
      <w:spacing w:after="0" w:line="240" w:lineRule="auto"/>
    </w:pPr>
    <w:rPr>
      <w:rFonts w:ascii="Calibri" w:eastAsia="Calibri" w:hAnsi="Calibri" w:cs="Times New Roman"/>
    </w:rPr>
  </w:style>
  <w:style w:type="paragraph" w:styleId="ListParagraph">
    <w:name w:val="List Paragraph"/>
    <w:basedOn w:val="Normal"/>
    <w:uiPriority w:val="34"/>
    <w:qFormat/>
    <w:rsid w:val="00FE74A2"/>
    <w:pPr>
      <w:ind w:left="720"/>
      <w:contextualSpacing/>
    </w:pPr>
    <w:rPr>
      <w:rFonts w:ascii="Calibri" w:hAnsi="Calibri"/>
      <w:sz w:val="22"/>
      <w:szCs w:val="22"/>
    </w:rPr>
  </w:style>
  <w:style w:type="character" w:styleId="Hyperlink">
    <w:name w:val="Hyperlink"/>
    <w:basedOn w:val="DefaultParagraphFont"/>
    <w:uiPriority w:val="99"/>
    <w:semiHidden/>
    <w:unhideWhenUsed/>
    <w:rsid w:val="00C64ABE"/>
    <w:rPr>
      <w:color w:val="0000FF"/>
      <w:u w:val="single"/>
    </w:rPr>
  </w:style>
  <w:style w:type="paragraph" w:styleId="NormalWeb">
    <w:name w:val="Normal (Web)"/>
    <w:basedOn w:val="Normal"/>
    <w:uiPriority w:val="99"/>
    <w:unhideWhenUsed/>
    <w:rsid w:val="00C64ABE"/>
    <w:pPr>
      <w:spacing w:before="100" w:beforeAutospacing="1" w:after="100" w:afterAutospacing="1"/>
    </w:pPr>
  </w:style>
  <w:style w:type="paragraph" w:styleId="BalloonText">
    <w:name w:val="Balloon Text"/>
    <w:basedOn w:val="Normal"/>
    <w:link w:val="BalloonTextChar"/>
    <w:uiPriority w:val="99"/>
    <w:semiHidden/>
    <w:unhideWhenUsed/>
    <w:rsid w:val="00C64ABE"/>
    <w:rPr>
      <w:rFonts w:ascii="Tahoma" w:hAnsi="Tahoma" w:cs="Tahoma"/>
      <w:sz w:val="16"/>
      <w:szCs w:val="16"/>
    </w:rPr>
  </w:style>
  <w:style w:type="character" w:customStyle="1" w:styleId="BalloonTextChar">
    <w:name w:val="Balloon Text Char"/>
    <w:basedOn w:val="DefaultParagraphFont"/>
    <w:link w:val="BalloonText"/>
    <w:uiPriority w:val="99"/>
    <w:semiHidden/>
    <w:rsid w:val="00C64AB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15076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newableheatnow.us8.list-manage.com/track/click?u=9ad5d537e96ebbd843e30ef69&amp;id=eaad1100d1&amp;e=dfedb49a3b"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renewableheatnow.us8.list-manage.com/track/click?u=9ad5d537e96ebbd843e30ef69&amp;id=aa35cd57a3&amp;e=dfedb49a3b"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newableheatnow.us8.list-manage.com/track/click?u=9ad5d537e96ebbd843e30ef69&amp;id=1157c26529&amp;e=dfedb49a3b" TargetMode="External"/><Relationship Id="rId11" Type="http://schemas.openxmlformats.org/officeDocument/2006/relationships/hyperlink" Target="https://renewableheatnow.us8.list-manage.com/track/click?u=9ad5d537e96ebbd843e30ef69&amp;id=6f5dd608e5&amp;e=dfedb49a3b" TargetMode="External"/><Relationship Id="rId5" Type="http://schemas.openxmlformats.org/officeDocument/2006/relationships/hyperlink" Target="https://renewableheatnow.us8.list-manage.com/track/click?u=9ad5d537e96ebbd843e30ef69&amp;id=a53cddbfac&amp;e=dfedb49a3b" TargetMode="External"/><Relationship Id="rId10" Type="http://schemas.openxmlformats.org/officeDocument/2006/relationships/hyperlink" Target="https://renewableheatnow.us8.list-manage.com/track/click?u=9ad5d537e96ebbd843e30ef69&amp;id=a58caf5aa9&amp;e=dfedb49a3b" TargetMode="External"/><Relationship Id="rId4" Type="http://schemas.openxmlformats.org/officeDocument/2006/relationships/image" Target="media/image1.jpeg"/><Relationship Id="rId9" Type="http://schemas.openxmlformats.org/officeDocument/2006/relationships/hyperlink" Target="https://renewableheatnow.us8.list-manage.com/track/click?u=9ad5d537e96ebbd843e30ef69&amp;id=1c5625077c&amp;e=dfedb49a3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414</Words>
  <Characters>2366</Characters>
  <Application>Microsoft Office Word</Application>
  <DocSecurity>0</DocSecurity>
  <Lines>19</Lines>
  <Paragraphs>5</Paragraphs>
  <ScaleCrop>false</ScaleCrop>
  <Company>Grizli777</Company>
  <LinksUpToDate>false</LinksUpToDate>
  <CharactersWithSpaces>2775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Seven Steps</dc:creator>
  <cp:lastModifiedBy>Seven Steps</cp:lastModifiedBy>
  <cp:revision>1</cp:revision>
  <dcterms:created xsi:type="dcterms:W3CDTF">2020-05-26T01:55:00Z</dcterms:created>
  <dcterms:modified xsi:type="dcterms:W3CDTF">2020-05-26T01:57:00Z</dcterms:modified>
</cp:coreProperties>
</file>